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12D" w:rsidRPr="00FE221E" w:rsidRDefault="00CF212D" w:rsidP="00CF212D">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Phụ lục I</w:t>
      </w:r>
    </w:p>
    <w:p w:rsidR="00CF212D" w:rsidRPr="00FE221E" w:rsidRDefault="00CF212D" w:rsidP="00CF212D">
      <w:pPr>
        <w:jc w:val="center"/>
        <w:rPr>
          <w:rFonts w:ascii="Arial" w:eastAsia="Times New Roman" w:hAnsi="Arial" w:cs="Arial"/>
          <w:b/>
          <w:bCs/>
          <w:color w:val="auto"/>
          <w:sz w:val="20"/>
          <w:szCs w:val="20"/>
        </w:rPr>
      </w:pPr>
      <w:r w:rsidRPr="00FE221E">
        <w:rPr>
          <w:rFonts w:ascii="Arial" w:eastAsia="Times New Roman" w:hAnsi="Arial" w:cs="Arial"/>
          <w:b/>
          <w:bCs/>
          <w:color w:val="auto"/>
          <w:sz w:val="20"/>
          <w:szCs w:val="20"/>
        </w:rPr>
        <w:t>DANH MỤC MỘT SỐ BỆNH ĐƯỢC KHÁM BỆNH, CHỮA BỆNH</w:t>
      </w:r>
      <w:r>
        <w:rPr>
          <w:rFonts w:ascii="Arial" w:eastAsia="Times New Roman" w:hAnsi="Arial" w:cs="Arial"/>
          <w:b/>
          <w:bCs/>
          <w:color w:val="auto"/>
          <w:sz w:val="20"/>
          <w:szCs w:val="20"/>
        </w:rPr>
        <w:br/>
      </w:r>
      <w:r w:rsidRPr="00FE221E">
        <w:rPr>
          <w:rFonts w:ascii="Arial" w:eastAsia="Times New Roman" w:hAnsi="Arial" w:cs="Arial"/>
          <w:b/>
          <w:bCs/>
          <w:color w:val="auto"/>
          <w:sz w:val="20"/>
          <w:szCs w:val="20"/>
        </w:rPr>
        <w:t>TẠI CƠ SỞ KHÁM BỆNH, CHỮA BỆNH CẤP CHUYÊN SAU</w:t>
      </w:r>
    </w:p>
    <w:p w:rsidR="00CF212D" w:rsidRPr="00FE221E" w:rsidRDefault="00CF212D" w:rsidP="00CF212D">
      <w:pPr>
        <w:jc w:val="center"/>
        <w:rPr>
          <w:rFonts w:ascii="Arial" w:eastAsia="Times New Roman" w:hAnsi="Arial" w:cs="Arial"/>
          <w:i/>
          <w:iCs/>
          <w:color w:val="auto"/>
          <w:sz w:val="20"/>
          <w:szCs w:val="20"/>
        </w:rPr>
      </w:pPr>
      <w:r w:rsidRPr="00FE221E">
        <w:rPr>
          <w:rFonts w:ascii="Arial" w:eastAsia="Times New Roman" w:hAnsi="Arial" w:cs="Arial"/>
          <w:i/>
          <w:iCs/>
          <w:color w:val="auto"/>
          <w:sz w:val="20"/>
          <w:szCs w:val="20"/>
        </w:rPr>
        <w:t>(Ban hành kèm theo Thông tư số</w:t>
      </w:r>
      <w:r w:rsidRPr="00FE221E">
        <w:rPr>
          <w:rFonts w:ascii="Arial" w:eastAsia="Times New Roman" w:hAnsi="Arial" w:cs="Arial"/>
          <w:color w:val="auto"/>
          <w:sz w:val="20"/>
          <w:szCs w:val="20"/>
        </w:rPr>
        <w:t xml:space="preserve"> </w:t>
      </w:r>
      <w:r w:rsidRPr="00FE221E">
        <w:rPr>
          <w:rFonts w:ascii="Arial" w:eastAsia="Times New Roman" w:hAnsi="Arial" w:cs="Arial"/>
          <w:i/>
          <w:color w:val="auto"/>
          <w:sz w:val="20"/>
          <w:szCs w:val="20"/>
        </w:rPr>
        <w:t>01</w:t>
      </w:r>
      <w:r w:rsidRPr="00FE221E">
        <w:rPr>
          <w:rFonts w:ascii="Arial" w:eastAsia="Times New Roman" w:hAnsi="Arial" w:cs="Arial"/>
          <w:i/>
          <w:iCs/>
          <w:color w:val="auto"/>
          <w:sz w:val="20"/>
          <w:szCs w:val="20"/>
        </w:rPr>
        <w:t>/2025/TT-BYT ngày 01 tháng 01 năm 2025</w:t>
      </w:r>
      <w:r>
        <w:rPr>
          <w:rFonts w:ascii="Arial" w:eastAsia="Times New Roman" w:hAnsi="Arial" w:cs="Arial"/>
          <w:i/>
          <w:iCs/>
          <w:color w:val="auto"/>
          <w:sz w:val="20"/>
          <w:szCs w:val="20"/>
        </w:rPr>
        <w:br/>
      </w:r>
      <w:r w:rsidRPr="00FE221E">
        <w:rPr>
          <w:rFonts w:ascii="Arial" w:eastAsia="Times New Roman" w:hAnsi="Arial" w:cs="Arial"/>
          <w:i/>
          <w:iCs/>
          <w:color w:val="auto"/>
          <w:sz w:val="20"/>
          <w:szCs w:val="20"/>
        </w:rPr>
        <w:t>của Bộ trưởng Bộ Y tế)</w:t>
      </w:r>
    </w:p>
    <w:p w:rsidR="00CF212D" w:rsidRPr="00FE221E" w:rsidRDefault="00CF212D" w:rsidP="00CF212D">
      <w:pPr>
        <w:jc w:val="center"/>
        <w:rPr>
          <w:rFonts w:ascii="Arial" w:eastAsia="Times New Roman" w:hAnsi="Arial" w:cs="Arial"/>
          <w:iCs/>
          <w:color w:val="auto"/>
          <w:sz w:val="20"/>
          <w:szCs w:val="20"/>
          <w:vertAlign w:val="superscript"/>
          <w:lang w:val="en-US"/>
        </w:rPr>
      </w:pPr>
      <w:r w:rsidRPr="00FE221E">
        <w:rPr>
          <w:rFonts w:ascii="Arial" w:eastAsia="Times New Roman" w:hAnsi="Arial" w:cs="Arial"/>
          <w:iCs/>
          <w:color w:val="auto"/>
          <w:sz w:val="20"/>
          <w:szCs w:val="20"/>
          <w:vertAlign w:val="superscript"/>
          <w:lang w:val="en-US"/>
        </w:rPr>
        <w:t>_________________</w:t>
      </w:r>
    </w:p>
    <w:p w:rsidR="00CF212D" w:rsidRPr="00FE221E" w:rsidRDefault="00CF212D" w:rsidP="00CF212D">
      <w:pPr>
        <w:jc w:val="center"/>
        <w:rPr>
          <w:rFonts w:ascii="Arial" w:eastAsia="Times New Roman" w:hAnsi="Arial" w:cs="Arial"/>
          <w:i/>
          <w:iCs/>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09"/>
        <w:gridCol w:w="4400"/>
        <w:gridCol w:w="1328"/>
        <w:gridCol w:w="2913"/>
      </w:tblGrid>
      <w:tr w:rsidR="00CF212D" w:rsidRPr="00FE221E" w:rsidTr="007660D6">
        <w:trPr>
          <w:trHeight w:val="20"/>
          <w:jc w:val="center"/>
        </w:trPr>
        <w:tc>
          <w:tcPr>
            <w:tcW w:w="379" w:type="pct"/>
            <w:tcBorders>
              <w:top w:val="single" w:sz="4" w:space="0" w:color="auto"/>
              <w:left w:val="single" w:sz="4" w:space="0" w:color="auto"/>
            </w:tcBorders>
            <w:shd w:val="clear" w:color="auto" w:fill="FFFFFF"/>
            <w:vAlign w:val="center"/>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STT</w:t>
            </w:r>
          </w:p>
        </w:tc>
        <w:tc>
          <w:tcPr>
            <w:tcW w:w="2353" w:type="pct"/>
            <w:tcBorders>
              <w:top w:val="single" w:sz="4" w:space="0" w:color="auto"/>
              <w:left w:val="single" w:sz="4" w:space="0" w:color="auto"/>
            </w:tcBorders>
            <w:shd w:val="clear" w:color="auto" w:fill="FFFFFF"/>
            <w:vAlign w:val="center"/>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Tên bệnh, nhóm bệnh và các trường hợp</w:t>
            </w:r>
          </w:p>
        </w:tc>
        <w:tc>
          <w:tcPr>
            <w:tcW w:w="710" w:type="pct"/>
            <w:tcBorders>
              <w:top w:val="single" w:sz="4" w:space="0" w:color="auto"/>
              <w:left w:val="single" w:sz="4" w:space="0" w:color="auto"/>
            </w:tcBorders>
            <w:shd w:val="clear" w:color="auto" w:fill="FFFFFF"/>
            <w:vAlign w:val="center"/>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Mã</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ICD-10</w:t>
            </w:r>
          </w:p>
        </w:tc>
        <w:tc>
          <w:tcPr>
            <w:tcW w:w="1558" w:type="pct"/>
            <w:tcBorders>
              <w:top w:val="single" w:sz="4" w:space="0" w:color="auto"/>
              <w:left w:val="single" w:sz="4" w:space="0" w:color="auto"/>
              <w:right w:val="single" w:sz="4" w:space="0" w:color="auto"/>
            </w:tcBorders>
            <w:shd w:val="clear" w:color="auto" w:fill="FFFFFF"/>
            <w:vAlign w:val="center"/>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Tình trạng, điều kiện</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Viêm màng não do lao (G01*)</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A17.0</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lao màng não (G07*)</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A17.1</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Lao khác của hệ thần kinh</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A17.8</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Lao hệ thần kinh, không xác định (G99.8*)</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A17.9</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mycobacteria ở phổi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A31.0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histoplasma capsulatum ở phổi cấp tính</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B39.0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7.</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nấm blastomyces ở phổi cấp tính</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B40.0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8.</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nấm paracoccidioides ở phổi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B41.0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9.</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sporotrichum ở phổi (J99.8*)</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B42.0</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10.</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aspergillus ở phổi xâm lấn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B44.0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11.</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cryptococcus ở phổi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B45.0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12.</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mucor ở phổi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B46.0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13.</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Nhiễm mucor lan toả</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B46.4</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14.</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tụy</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C25</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15.</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tuyến ức</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C37</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16.</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của tim, trung thất và màng phổi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C38</w:t>
            </w: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(trừ mã</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C38.4)</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17.</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của xương và sụn khớp ở vị trí khác và không xác định</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C41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18.</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của mãng não</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19.</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của não</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20.</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của tủy sống, dây thần kinh sọ và các phần khác của hệ thần kinh trung ương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21.</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thứ phát của não và màng não</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C79.3</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22.</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Nhóm u ác tính</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 xml:space="preserve">Từ C00 đến </w:t>
            </w:r>
            <w:r w:rsidRPr="00FE221E">
              <w:rPr>
                <w:rFonts w:ascii="Arial" w:eastAsia="Times New Roman" w:hAnsi="Arial" w:cs="Arial"/>
                <w:color w:val="auto"/>
                <w:sz w:val="20"/>
                <w:szCs w:val="20"/>
              </w:rPr>
              <w:lastRenderedPageBreak/>
              <w:t>C97</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Có đủ 02 điều kiện sau đây:</w:t>
            </w:r>
          </w:p>
          <w:p w:rsidR="00CF212D" w:rsidRPr="00FE221E" w:rsidRDefault="00CF212D" w:rsidP="007660D6">
            <w:pPr>
              <w:tabs>
                <w:tab w:val="left" w:pos="149"/>
              </w:tabs>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 Người dưới 18 tuổi.</w:t>
            </w:r>
          </w:p>
          <w:p w:rsidR="00CF212D" w:rsidRPr="00FE221E" w:rsidRDefault="00CF212D" w:rsidP="007660D6">
            <w:pPr>
              <w:tabs>
                <w:tab w:val="left" w:pos="178"/>
              </w:tabs>
              <w:rPr>
                <w:rFonts w:ascii="Arial" w:eastAsia="Times New Roman" w:hAnsi="Arial" w:cs="Arial"/>
                <w:color w:val="auto"/>
                <w:sz w:val="20"/>
                <w:szCs w:val="20"/>
              </w:rPr>
            </w:pPr>
            <w:r w:rsidRPr="00FE221E">
              <w:rPr>
                <w:rFonts w:ascii="Arial" w:eastAsia="Times New Roman" w:hAnsi="Arial" w:cs="Arial"/>
                <w:color w:val="auto"/>
                <w:sz w:val="20"/>
                <w:szCs w:val="20"/>
              </w:rPr>
              <w:t>- Không áp dụng đối với trường hợp đã được chẩn đoán xác định nhưng không có chỉ định điều trị đặc hiệu.</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23.</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U ác của hệ lympho, hệ tạo máu và các mô liên quan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Từ C81 đến C86 và từ C90 đến C96</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(trừ mã C83.5)</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24.</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Hội chứng loạn sản tủy xương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D46</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25.</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Các thể suy tủy xương khác</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D61 (trừ mã D61.9)</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26.</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tăng đông máu khác (Hội chứng kháng phospho lipid)</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D68.6</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27.</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Hội chứng thực bào tế bào máu liên quan đến nhiễm trùng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D76.2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28.</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đái tháo đường phụ thuộc insuline (Có đa biến chứng)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E10.7</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Có biến chứng loét bàn chân độ 2 hoặc có bệnh thận mạn giai đoạn 3 trở lên hoặc có ít nhất 02 trong số các biến chứng: tim mạch, mắt, thần kinh, mạch máu.</w:t>
            </w: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29.</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đái tháo đường không phụ thuộc insuline (Có đa biến chứng)</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E11.7</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Có biến chứng loét bàn chân độ 2 hoặc có bệnh thận mạn giai đoạn 3 trở lên.</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30.</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chuyển hóa acid amin thơm</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31.</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chuyển hóa acid amin chuỗi nhánh và rối loạn chuyển hóa acid béo</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32.</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Các rối loạn khác của chuyển hóa acid amin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33.</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Nhóm rối loạn dự trữ thể tiêu bào (Bệnh Pompe, bệnh MPS, Bệnh Gaucher, Bệnh Fabry)</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E74,</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E75,</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E76,</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(Áp mã theo</w:t>
            </w:r>
          </w:p>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ICD-10 của WHO cập nhật năm 2021)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34.</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chuyển hóa đồng (bao gồm cả bệnh Wilson)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E83.0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Wilson có biến chứng (có một trong các biến chứng của xơ gan, suy gan cấp, tối cấp, suy thận cấp, rối loạn vận động, rối loạn vận ngôn, rối loạn tâm thần, sa sút trí tuệ, động kinh bệnh cơ tim, rối loạn nhịp tim).</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35.</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Thoái hóa dạng bột</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E85</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36.</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Rối loạn trầm cảm tái diễn</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F33</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 Kháng thuốc.</w:t>
            </w:r>
          </w:p>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 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37.</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Rối loạn ám ảnh nghi thức</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F42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38.</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Viêm não, viêm tủy và viêm não-tủy</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G04 (trừ mã G04.2)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39.</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Xơ cứng rải rác</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G35</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40.</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Viêm tủy thị thần kinh [Devic]</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G36.0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41.</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Nhược cơ</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G70.0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tabs>
                <w:tab w:val="left" w:pos="264"/>
              </w:tabs>
              <w:rPr>
                <w:rFonts w:ascii="Arial" w:eastAsia="Times New Roman" w:hAnsi="Arial" w:cs="Arial"/>
                <w:color w:val="auto"/>
                <w:sz w:val="20"/>
                <w:szCs w:val="20"/>
              </w:rPr>
            </w:pPr>
            <w:r w:rsidRPr="00FE221E">
              <w:rPr>
                <w:rFonts w:ascii="Arial" w:eastAsia="Times New Roman" w:hAnsi="Arial" w:cs="Arial"/>
                <w:color w:val="auto"/>
                <w:sz w:val="20"/>
                <w:szCs w:val="20"/>
              </w:rPr>
              <w:t>- Trường hợp phải lọc máu, suy hô hấp.</w:t>
            </w:r>
          </w:p>
          <w:p w:rsidR="00CF212D" w:rsidRPr="00FE221E" w:rsidRDefault="00CF212D" w:rsidP="007660D6">
            <w:pPr>
              <w:tabs>
                <w:tab w:val="left" w:pos="408"/>
              </w:tabs>
              <w:rPr>
                <w:rFonts w:ascii="Arial" w:eastAsia="Times New Roman" w:hAnsi="Arial" w:cs="Arial"/>
                <w:color w:val="auto"/>
                <w:sz w:val="20"/>
                <w:szCs w:val="20"/>
              </w:rPr>
            </w:pPr>
            <w:r w:rsidRPr="00FE221E">
              <w:rPr>
                <w:rFonts w:ascii="Arial" w:eastAsia="Times New Roman" w:hAnsi="Arial" w:cs="Arial"/>
                <w:color w:val="auto"/>
                <w:sz w:val="20"/>
                <w:szCs w:val="20"/>
              </w:rPr>
              <w:t>- 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42.</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lý võng mạc của trẻ đẻ non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H35.1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43.</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Suy tim</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50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Đã có kết luận chẩn đoán giai đoạn 3, giai đoạn 4.</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44.</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Hoại tử thượng bì nhiễm độc (Lyell/Steven Johnson)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51.2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45.</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Hội chứng sau mổ tim</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97.0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46.</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chức năng khác sau phẫu thuật tim</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97.1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47.</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phổi mô kẽ khác</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J84</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48.</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Áp xe phổi và trung thất</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J85</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Tình trạng tiến triển nặng theo hướng dẫn chẩn đoán, điều trị.</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49.</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Mủ lồng ngực (nhiễm trùng nặng ở phổi)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J86</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Tình trạng tiến triển nặng theo hướng dẫn chẩn đoán, điều trị.</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50.</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Crohn (viêm ruột từng vùng)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K50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Mức độ nặng theo thang điểm CDAI từ 450 điểm trở lên, hoặc có biến chứng như rò, thủng, áp xe trong ổ bụng, suy dinh dưỡng nặng.</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51.</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Pemphigus</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L10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Một trong các điều kiện sau đây:</w:t>
            </w:r>
          </w:p>
          <w:p w:rsidR="00CF212D" w:rsidRPr="00FE221E" w:rsidRDefault="00CF212D" w:rsidP="007660D6">
            <w:pPr>
              <w:tabs>
                <w:tab w:val="left" w:pos="235"/>
              </w:tabs>
              <w:rPr>
                <w:rFonts w:ascii="Arial" w:eastAsia="Times New Roman" w:hAnsi="Arial" w:cs="Arial"/>
                <w:color w:val="auto"/>
                <w:sz w:val="20"/>
                <w:szCs w:val="20"/>
              </w:rPr>
            </w:pPr>
            <w:r w:rsidRPr="00FE221E">
              <w:rPr>
                <w:rFonts w:ascii="Arial" w:eastAsia="Times New Roman" w:hAnsi="Arial" w:cs="Arial"/>
                <w:color w:val="auto"/>
                <w:sz w:val="20"/>
                <w:szCs w:val="20"/>
              </w:rPr>
              <w:t>- Tổn thương da &gt;10% diện tích cơ thể.</w:t>
            </w:r>
          </w:p>
          <w:p w:rsidR="00CF212D" w:rsidRPr="00FE221E" w:rsidRDefault="00CF212D" w:rsidP="007660D6">
            <w:pPr>
              <w:tabs>
                <w:tab w:val="left" w:pos="283"/>
              </w:tabs>
              <w:rPr>
                <w:rFonts w:ascii="Arial" w:eastAsia="Times New Roman" w:hAnsi="Arial" w:cs="Arial"/>
                <w:color w:val="auto"/>
                <w:sz w:val="20"/>
                <w:szCs w:val="20"/>
              </w:rPr>
            </w:pPr>
            <w:r w:rsidRPr="00FE221E">
              <w:rPr>
                <w:rFonts w:ascii="Arial" w:eastAsia="Times New Roman" w:hAnsi="Arial" w:cs="Arial"/>
                <w:color w:val="auto"/>
                <w:sz w:val="20"/>
                <w:szCs w:val="20"/>
              </w:rPr>
              <w:t>- Tình trạng tiến triển bệnh nặng theo hướng dẫn chẩn đoán và điều trị.</w:t>
            </w:r>
          </w:p>
          <w:p w:rsidR="00CF212D" w:rsidRPr="00FE221E" w:rsidRDefault="00CF212D" w:rsidP="007660D6">
            <w:pPr>
              <w:tabs>
                <w:tab w:val="left" w:pos="154"/>
              </w:tabs>
              <w:rPr>
                <w:rFonts w:ascii="Arial" w:eastAsia="Times New Roman" w:hAnsi="Arial" w:cs="Arial"/>
                <w:color w:val="auto"/>
                <w:sz w:val="20"/>
                <w:szCs w:val="20"/>
              </w:rPr>
            </w:pP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Á u.</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52.</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Viêm mạch mạng lưới</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L95.0</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53.</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da tăng bạch cầu trung tính có sốt [Hội chứng Sweet]</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L98.2</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54.</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Bệnh Lupus ban đỏ hệ thống có tổn thương phủ tạng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M32.1</w:t>
            </w:r>
            <w:r w:rsidRPr="00FE221E">
              <w:rPr>
                <w:rFonts w:ascii="Times New Roman" w:eastAsia="Times New Roman" w:hAnsi="Times New Roman" w:cs="Times New Roman"/>
                <w:sz w:val="20"/>
                <w:szCs w:val="28"/>
              </w:rPr>
              <w:t>†</w:t>
            </w:r>
          </w:p>
          <w:p w:rsidR="00CF212D" w:rsidRPr="00FE221E" w:rsidRDefault="00CF212D" w:rsidP="007660D6">
            <w:pPr>
              <w:jc w:val="center"/>
              <w:rPr>
                <w:rFonts w:ascii="Arial" w:eastAsia="Times New Roman" w:hAnsi="Arial" w:cs="Arial"/>
                <w:color w:val="auto"/>
                <w:sz w:val="20"/>
                <w:szCs w:val="20"/>
              </w:rPr>
            </w:pPr>
          </w:p>
          <w:p w:rsidR="00CF212D" w:rsidRPr="00FE221E" w:rsidRDefault="00CF212D" w:rsidP="007660D6">
            <w:pPr>
              <w:jc w:val="center"/>
              <w:rPr>
                <w:rFonts w:ascii="Arial" w:eastAsia="Times New Roman" w:hAnsi="Arial" w:cs="Arial"/>
                <w:color w:val="auto"/>
                <w:sz w:val="20"/>
                <w:szCs w:val="20"/>
              </w:rPr>
            </w:pP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tabs>
                <w:tab w:val="left" w:pos="254"/>
              </w:tabs>
              <w:rPr>
                <w:rFonts w:ascii="Arial" w:eastAsia="Times New Roman" w:hAnsi="Arial" w:cs="Arial"/>
                <w:color w:val="auto"/>
                <w:sz w:val="20"/>
                <w:szCs w:val="20"/>
              </w:rPr>
            </w:pPr>
            <w:r w:rsidRPr="00FE221E">
              <w:rPr>
                <w:rFonts w:ascii="Arial" w:eastAsia="Times New Roman" w:hAnsi="Arial" w:cs="Arial"/>
                <w:color w:val="auto"/>
                <w:sz w:val="20"/>
                <w:szCs w:val="20"/>
              </w:rPr>
              <w:t>- Tổn thương tim hoặc phổi hoặc thận nặng, tiến triển, đe dọa tính mạng.</w:t>
            </w:r>
          </w:p>
          <w:p w:rsidR="00CF212D" w:rsidRPr="00FE221E" w:rsidRDefault="00CF212D" w:rsidP="007660D6">
            <w:pPr>
              <w:tabs>
                <w:tab w:val="left" w:pos="408"/>
              </w:tabs>
              <w:rPr>
                <w:rFonts w:ascii="Arial" w:eastAsia="Times New Roman" w:hAnsi="Arial" w:cs="Arial"/>
                <w:color w:val="auto"/>
                <w:sz w:val="20"/>
                <w:szCs w:val="20"/>
              </w:rPr>
            </w:pPr>
            <w:r w:rsidRPr="00FE221E">
              <w:rPr>
                <w:rFonts w:ascii="Arial" w:eastAsia="Times New Roman" w:hAnsi="Arial" w:cs="Arial"/>
                <w:color w:val="auto"/>
                <w:sz w:val="20"/>
                <w:szCs w:val="20"/>
              </w:rPr>
              <w:t>- 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55.</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Đái tháo đường sơ sinh</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P70.2</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 xml:space="preserve">Người bệnh được hưởng quyền lợi ngay trong lượt khám bệnh, chữa bệnh có kết quả chẩn </w:t>
            </w:r>
            <w:r w:rsidRPr="00FE221E">
              <w:rPr>
                <w:rFonts w:ascii="Arial" w:eastAsia="Times New Roman" w:hAnsi="Arial" w:cs="Arial"/>
                <w:color w:val="auto"/>
                <w:sz w:val="20"/>
                <w:szCs w:val="20"/>
              </w:rPr>
              <w:lastRenderedPageBreak/>
              <w:t>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56.</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Dị tật bẩm sinh khác của não</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Q04</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57.</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Các dị tật bẩm sinh khác của tủy sống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Q06</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58.</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Nhóm các dị tật bẩm sinh của hệ thống tuần hoàn</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Từ Q20 đến Q28</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tabs>
                <w:tab w:val="left" w:pos="1872"/>
              </w:tabs>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 thuộc một trong 02 trường hợp sau đây:</w:t>
            </w:r>
          </w:p>
          <w:p w:rsidR="00CF212D" w:rsidRPr="00FE221E" w:rsidRDefault="00CF212D" w:rsidP="007660D6">
            <w:pPr>
              <w:tabs>
                <w:tab w:val="left" w:pos="302"/>
              </w:tabs>
              <w:rPr>
                <w:rFonts w:ascii="Arial" w:eastAsia="Times New Roman" w:hAnsi="Arial" w:cs="Arial"/>
                <w:color w:val="auto"/>
                <w:sz w:val="20"/>
                <w:szCs w:val="20"/>
              </w:rPr>
            </w:pP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Phẫu thuật/can thiệp loại đặc biệt.</w:t>
            </w:r>
          </w:p>
          <w:p w:rsidR="00CF212D" w:rsidRPr="00FE221E" w:rsidRDefault="00CF212D" w:rsidP="007660D6">
            <w:pPr>
              <w:tabs>
                <w:tab w:val="left" w:pos="187"/>
              </w:tabs>
              <w:rPr>
                <w:rFonts w:ascii="Arial" w:eastAsia="Times New Roman" w:hAnsi="Arial" w:cs="Arial"/>
                <w:color w:val="auto"/>
                <w:sz w:val="20"/>
                <w:szCs w:val="20"/>
              </w:rPr>
            </w:pP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03 phẫu thuật/can thiệp đồng thời trở lên.</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59.</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Biến dạng bẩm sinh của khớp háng</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Q65</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Có chỉ định thay khớp.</w:t>
            </w: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60.</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Kháng (các) thuốc chống lao</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U84.3</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hAnsi="Arial" w:cs="Arial"/>
                <w:sz w:val="20"/>
                <w:szCs w:val="20"/>
              </w:rPr>
            </w:pPr>
          </w:p>
        </w:tc>
      </w:tr>
      <w:tr w:rsidR="00CF212D" w:rsidRPr="00FE221E" w:rsidTr="007660D6">
        <w:trPr>
          <w:trHeight w:val="20"/>
          <w:jc w:val="center"/>
        </w:trPr>
        <w:tc>
          <w:tcPr>
            <w:tcW w:w="379"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61.</w:t>
            </w:r>
          </w:p>
        </w:tc>
        <w:tc>
          <w:tcPr>
            <w:tcW w:w="2353" w:type="pct"/>
            <w:tcBorders>
              <w:top w:val="single" w:sz="4" w:space="0" w:color="auto"/>
              <w:lef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Di chứng của hoạt động chiến tranh (Di chứng do vết thương chiến tranh)</w:t>
            </w:r>
          </w:p>
        </w:tc>
        <w:tc>
          <w:tcPr>
            <w:tcW w:w="710" w:type="pct"/>
            <w:tcBorders>
              <w:top w:val="single" w:sz="4" w:space="0" w:color="auto"/>
              <w:left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Y89.1</w:t>
            </w:r>
          </w:p>
        </w:tc>
        <w:tc>
          <w:tcPr>
            <w:tcW w:w="1558" w:type="pct"/>
            <w:tcBorders>
              <w:top w:val="single" w:sz="4" w:space="0" w:color="auto"/>
              <w:left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Áp dụng đối với thương binh, bệnh binh, người có công với cách mạng.</w:t>
            </w:r>
          </w:p>
        </w:tc>
      </w:tr>
      <w:tr w:rsidR="00CF212D" w:rsidRPr="00FE221E" w:rsidTr="007660D6">
        <w:trPr>
          <w:trHeight w:val="20"/>
          <w:jc w:val="center"/>
        </w:trPr>
        <w:tc>
          <w:tcPr>
            <w:tcW w:w="379"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62.</w:t>
            </w:r>
          </w:p>
        </w:tc>
        <w:tc>
          <w:tcPr>
            <w:tcW w:w="2353" w:type="pct"/>
            <w:tcBorders>
              <w:top w:val="single" w:sz="4" w:space="0" w:color="auto"/>
              <w:left w:val="single" w:sz="4" w:space="0" w:color="auto"/>
              <w:bottom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Tình trạng của mảnh ghép cơ quan và tổ chức</w:t>
            </w:r>
          </w:p>
        </w:tc>
        <w:tc>
          <w:tcPr>
            <w:tcW w:w="710" w:type="pct"/>
            <w:tcBorders>
              <w:top w:val="single" w:sz="4" w:space="0" w:color="auto"/>
              <w:left w:val="single" w:sz="4" w:space="0" w:color="auto"/>
              <w:bottom w:val="single" w:sz="4" w:space="0" w:color="auto"/>
            </w:tcBorders>
            <w:shd w:val="clear" w:color="auto" w:fill="FFFFFF"/>
          </w:tcPr>
          <w:p w:rsidR="00CF212D" w:rsidRPr="00FE221E" w:rsidRDefault="00CF212D" w:rsidP="007660D6">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Z94</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CF212D" w:rsidRPr="00FE221E" w:rsidRDefault="00CF212D" w:rsidP="007660D6">
            <w:pPr>
              <w:rPr>
                <w:rFonts w:ascii="Arial" w:eastAsia="Times New Roman" w:hAnsi="Arial" w:cs="Arial"/>
                <w:color w:val="auto"/>
                <w:sz w:val="20"/>
                <w:szCs w:val="20"/>
              </w:rPr>
            </w:pPr>
            <w:r w:rsidRPr="00FE221E">
              <w:rPr>
                <w:rFonts w:ascii="Arial" w:eastAsia="Times New Roman" w:hAnsi="Arial" w:cs="Arial"/>
                <w:color w:val="auto"/>
                <w:sz w:val="20"/>
                <w:szCs w:val="20"/>
              </w:rPr>
              <w:t>Áp dụng đối với người bệnh có ghép tạng và điều trị sau ghép tạng.</w:t>
            </w:r>
          </w:p>
        </w:tc>
      </w:tr>
    </w:tbl>
    <w:p w:rsidR="00CF212D" w:rsidRPr="00FE221E" w:rsidRDefault="00CF212D" w:rsidP="00CF212D">
      <w:pPr>
        <w:keepNext/>
        <w:keepLines/>
        <w:spacing w:after="120"/>
        <w:ind w:firstLine="720"/>
        <w:jc w:val="both"/>
        <w:rPr>
          <w:rFonts w:ascii="Arial" w:eastAsia="Times New Roman" w:hAnsi="Arial" w:cs="Arial"/>
          <w:b/>
          <w:bCs/>
          <w:color w:val="auto"/>
          <w:sz w:val="20"/>
          <w:szCs w:val="20"/>
        </w:rPr>
      </w:pPr>
      <w:bookmarkStart w:id="0" w:name="bookmark173"/>
      <w:bookmarkStart w:id="1" w:name="bookmark174"/>
      <w:bookmarkStart w:id="2" w:name="bookmark175"/>
      <w:r w:rsidRPr="00FE221E">
        <w:rPr>
          <w:rFonts w:ascii="Arial" w:eastAsia="Times New Roman" w:hAnsi="Arial" w:cs="Arial"/>
          <w:b/>
          <w:bCs/>
          <w:color w:val="auto"/>
          <w:sz w:val="20"/>
          <w:szCs w:val="20"/>
        </w:rPr>
        <w:t>Ghi chú:</w:t>
      </w:r>
      <w:bookmarkEnd w:id="0"/>
      <w:bookmarkEnd w:id="1"/>
      <w:bookmarkEnd w:id="2"/>
    </w:p>
    <w:p w:rsidR="00CF212D" w:rsidRPr="00FE221E" w:rsidRDefault="00CF212D" w:rsidP="00CF212D">
      <w:pPr>
        <w:tabs>
          <w:tab w:val="left" w:pos="1513"/>
        </w:tabs>
        <w:spacing w:after="120"/>
        <w:ind w:firstLine="720"/>
        <w:jc w:val="both"/>
        <w:rPr>
          <w:rFonts w:ascii="Arial" w:eastAsia="Times New Roman" w:hAnsi="Arial" w:cs="Arial"/>
          <w:color w:val="auto"/>
          <w:sz w:val="20"/>
          <w:szCs w:val="20"/>
        </w:rPr>
      </w:pPr>
      <w:bookmarkStart w:id="3" w:name="bookmark176"/>
      <w:bookmarkEnd w:id="3"/>
      <w:r w:rsidRPr="00FE221E">
        <w:rPr>
          <w:rFonts w:ascii="Arial" w:eastAsia="Times New Roman" w:hAnsi="Arial" w:cs="Arial"/>
          <w:color w:val="auto"/>
          <w:sz w:val="20"/>
          <w:szCs w:val="20"/>
        </w:rPr>
        <w:t>1. Các mã bệnh có 03 ký tự trong Phụ lục này bao gồm tất cả các mã bệnh chi tiết có 04 ký tự. Ví dụ: Mã C25 bao gồm các mã C25.0, C25.1, C25.2, C25.3, C25.4, C25.7, C25.8, C25.9</w:t>
      </w:r>
    </w:p>
    <w:p w:rsidR="00CF212D" w:rsidRDefault="00CF212D" w:rsidP="00CF212D">
      <w:pPr>
        <w:tabs>
          <w:tab w:val="left" w:pos="1518"/>
        </w:tabs>
        <w:spacing w:after="120"/>
        <w:ind w:firstLine="720"/>
        <w:jc w:val="both"/>
        <w:rPr>
          <w:rFonts w:ascii="Arial" w:hAnsi="Arial" w:cs="Arial"/>
          <w:b/>
          <w:bCs/>
          <w:color w:val="000000" w:themeColor="text1"/>
          <w:sz w:val="20"/>
          <w:szCs w:val="20"/>
        </w:rPr>
      </w:pPr>
      <w:bookmarkStart w:id="4" w:name="bookmark177"/>
      <w:bookmarkEnd w:id="4"/>
      <w:r w:rsidRPr="00FE221E">
        <w:rPr>
          <w:rFonts w:ascii="Arial" w:eastAsia="Times New Roman" w:hAnsi="Arial" w:cs="Arial"/>
          <w:color w:val="auto"/>
          <w:sz w:val="20"/>
          <w:szCs w:val="20"/>
        </w:rPr>
        <w:t>2. Trường hợp có mã bệnh chi tiết đến 04 ký tự, khi xác định mã bệnh phải ghi rõ mã chi tiết 04 ký tự.</w:t>
      </w:r>
    </w:p>
    <w:p w:rsidR="00C74D44" w:rsidRPr="00CF212D" w:rsidRDefault="00C74D44" w:rsidP="00C74D44">
      <w:pPr>
        <w:spacing w:after="120"/>
        <w:ind w:firstLine="720"/>
        <w:jc w:val="both"/>
        <w:rPr>
          <w:rFonts w:ascii="Arial" w:hAnsi="Arial" w:cs="Arial"/>
          <w:color w:val="auto"/>
          <w:sz w:val="20"/>
          <w:szCs w:val="20"/>
          <w:lang w:val="en-US"/>
        </w:rPr>
      </w:pPr>
      <w:bookmarkStart w:id="5" w:name="_GoBack"/>
      <w:bookmarkEnd w:id="5"/>
    </w:p>
    <w:p w:rsidR="000C12D8" w:rsidRPr="00C74D44" w:rsidRDefault="000C12D8" w:rsidP="00C74D44"/>
    <w:sectPr w:rsidR="000C12D8" w:rsidRPr="00C74D44" w:rsidSect="00A61884">
      <w:headerReference w:type="even"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1F2" w:rsidRDefault="00E801F2" w:rsidP="00B6604B">
      <w:r>
        <w:separator/>
      </w:r>
    </w:p>
  </w:endnote>
  <w:endnote w:type="continuationSeparator" w:id="0">
    <w:p w:rsidR="00E801F2" w:rsidRDefault="00E801F2" w:rsidP="00B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1F2" w:rsidRDefault="00E801F2" w:rsidP="00B6604B">
      <w:r>
        <w:separator/>
      </w:r>
    </w:p>
  </w:footnote>
  <w:footnote w:type="continuationSeparator" w:id="0">
    <w:p w:rsidR="00E801F2" w:rsidRDefault="00E801F2" w:rsidP="00B6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B94" w:rsidRDefault="005A7B94">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4B"/>
    <w:rsid w:val="000A6861"/>
    <w:rsid w:val="000C12D8"/>
    <w:rsid w:val="00165C5E"/>
    <w:rsid w:val="00377A1A"/>
    <w:rsid w:val="0038646E"/>
    <w:rsid w:val="00463675"/>
    <w:rsid w:val="005A7B94"/>
    <w:rsid w:val="006A37D0"/>
    <w:rsid w:val="006F1F9A"/>
    <w:rsid w:val="00714519"/>
    <w:rsid w:val="00883626"/>
    <w:rsid w:val="009373DB"/>
    <w:rsid w:val="00A00925"/>
    <w:rsid w:val="00A61884"/>
    <w:rsid w:val="00A81D9F"/>
    <w:rsid w:val="00A843A8"/>
    <w:rsid w:val="00B6604B"/>
    <w:rsid w:val="00C74D44"/>
    <w:rsid w:val="00CF212D"/>
    <w:rsid w:val="00D41DED"/>
    <w:rsid w:val="00D67F9D"/>
    <w:rsid w:val="00E22CD8"/>
    <w:rsid w:val="00E24531"/>
    <w:rsid w:val="00E801F2"/>
    <w:rsid w:val="00E8065D"/>
    <w:rsid w:val="00F6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EAAB2-58E6-40B9-A86F-D9F83DFF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04B"/>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B6604B"/>
    <w:rPr>
      <w:rFonts w:ascii="Times New Roman" w:eastAsia="Times New Roman" w:hAnsi="Times New Roman" w:cs="Times New Roman"/>
    </w:rPr>
  </w:style>
  <w:style w:type="paragraph" w:customStyle="1" w:styleId="Other0">
    <w:name w:val="Other"/>
    <w:basedOn w:val="Normal"/>
    <w:link w:val="Other"/>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paragraph" w:styleId="Header">
    <w:name w:val="header"/>
    <w:basedOn w:val="Normal"/>
    <w:link w:val="HeaderChar"/>
    <w:uiPriority w:val="99"/>
    <w:unhideWhenUsed/>
    <w:rsid w:val="00B6604B"/>
    <w:pPr>
      <w:tabs>
        <w:tab w:val="center" w:pos="4680"/>
        <w:tab w:val="right" w:pos="9360"/>
      </w:tabs>
    </w:pPr>
  </w:style>
  <w:style w:type="character" w:customStyle="1" w:styleId="HeaderChar">
    <w:name w:val="Header Char"/>
    <w:basedOn w:val="DefaultParagraphFont"/>
    <w:link w:val="Header"/>
    <w:uiPriority w:val="99"/>
    <w:rsid w:val="00B6604B"/>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6604B"/>
    <w:pPr>
      <w:tabs>
        <w:tab w:val="center" w:pos="4680"/>
        <w:tab w:val="right" w:pos="9360"/>
      </w:tabs>
    </w:pPr>
  </w:style>
  <w:style w:type="character" w:customStyle="1" w:styleId="FooterChar">
    <w:name w:val="Footer Char"/>
    <w:basedOn w:val="DefaultParagraphFont"/>
    <w:link w:val="Footer"/>
    <w:uiPriority w:val="99"/>
    <w:rsid w:val="00B6604B"/>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rsid w:val="00B6604B"/>
    <w:rPr>
      <w:rFonts w:ascii="Times New Roman" w:eastAsia="Times New Roman" w:hAnsi="Times New Roman" w:cs="Times New Roman"/>
    </w:rPr>
  </w:style>
  <w:style w:type="character" w:customStyle="1" w:styleId="Bodytext2">
    <w:name w:val="Body text (2)_"/>
    <w:basedOn w:val="DefaultParagraphFont"/>
    <w:link w:val="Bodytext20"/>
    <w:rsid w:val="00B6604B"/>
    <w:rPr>
      <w:rFonts w:ascii="Times New Roman" w:eastAsia="Times New Roman" w:hAnsi="Times New Roman" w:cs="Times New Roman"/>
      <w:sz w:val="20"/>
      <w:szCs w:val="20"/>
    </w:rPr>
  </w:style>
  <w:style w:type="character" w:customStyle="1" w:styleId="Bodytext3">
    <w:name w:val="Body text (3)_"/>
    <w:basedOn w:val="DefaultParagraphFont"/>
    <w:link w:val="Bodytext30"/>
    <w:rsid w:val="00B6604B"/>
    <w:rPr>
      <w:rFonts w:ascii="Times New Roman" w:eastAsia="Times New Roman" w:hAnsi="Times New Roman" w:cs="Times New Roman"/>
      <w:b/>
      <w:bCs/>
      <w:sz w:val="30"/>
      <w:szCs w:val="30"/>
    </w:rPr>
  </w:style>
  <w:style w:type="character" w:customStyle="1" w:styleId="Heading1">
    <w:name w:val="Heading #1_"/>
    <w:basedOn w:val="DefaultParagraphFont"/>
    <w:link w:val="Heading10"/>
    <w:rsid w:val="00B6604B"/>
    <w:rPr>
      <w:rFonts w:ascii="Times New Roman" w:eastAsia="Times New Roman" w:hAnsi="Times New Roman" w:cs="Times New Roman"/>
      <w:b/>
      <w:bCs/>
      <w:sz w:val="70"/>
      <w:szCs w:val="70"/>
    </w:rPr>
  </w:style>
  <w:style w:type="character" w:customStyle="1" w:styleId="Tablecaption">
    <w:name w:val="Table caption_"/>
    <w:basedOn w:val="DefaultParagraphFont"/>
    <w:link w:val="Tablecaption0"/>
    <w:rsid w:val="00B6604B"/>
    <w:rPr>
      <w:rFonts w:ascii="Times New Roman" w:eastAsia="Times New Roman" w:hAnsi="Times New Roman" w:cs="Times New Roman"/>
      <w:b/>
      <w:bCs/>
    </w:rPr>
  </w:style>
  <w:style w:type="paragraph" w:styleId="BodyText">
    <w:name w:val="Body Text"/>
    <w:basedOn w:val="Normal"/>
    <w:link w:val="BodyTextChar"/>
    <w:qFormat/>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semiHidden/>
    <w:rsid w:val="00B6604B"/>
    <w:rPr>
      <w:rFonts w:ascii="Courier New" w:eastAsia="Courier New" w:hAnsi="Courier New" w:cs="Courier New"/>
      <w:color w:val="000000"/>
      <w:sz w:val="24"/>
      <w:szCs w:val="24"/>
      <w:lang w:val="vi-VN" w:eastAsia="vi-VN" w:bidi="vi-VN"/>
    </w:rPr>
  </w:style>
  <w:style w:type="paragraph" w:customStyle="1" w:styleId="Bodytext20">
    <w:name w:val="Body text (2)"/>
    <w:basedOn w:val="Normal"/>
    <w:link w:val="Bodytext2"/>
    <w:rsid w:val="00B6604B"/>
    <w:pPr>
      <w:spacing w:line="266" w:lineRule="auto"/>
      <w:ind w:firstLine="380"/>
    </w:pPr>
    <w:rPr>
      <w:rFonts w:ascii="Times New Roman" w:eastAsia="Times New Roman" w:hAnsi="Times New Roman" w:cs="Times New Roman"/>
      <w:color w:val="auto"/>
      <w:sz w:val="20"/>
      <w:szCs w:val="20"/>
      <w:lang w:val="en-US" w:eastAsia="en-US" w:bidi="ar-SA"/>
    </w:rPr>
  </w:style>
  <w:style w:type="paragraph" w:customStyle="1" w:styleId="Bodytext30">
    <w:name w:val="Body text (3)"/>
    <w:basedOn w:val="Normal"/>
    <w:link w:val="Bodytext3"/>
    <w:rsid w:val="00B6604B"/>
    <w:pPr>
      <w:spacing w:after="1860"/>
      <w:jc w:val="center"/>
    </w:pPr>
    <w:rPr>
      <w:rFonts w:ascii="Times New Roman" w:eastAsia="Times New Roman" w:hAnsi="Times New Roman" w:cs="Times New Roman"/>
      <w:b/>
      <w:bCs/>
      <w:color w:val="auto"/>
      <w:sz w:val="30"/>
      <w:szCs w:val="30"/>
      <w:lang w:val="en-US" w:eastAsia="en-US" w:bidi="ar-SA"/>
    </w:rPr>
  </w:style>
  <w:style w:type="paragraph" w:customStyle="1" w:styleId="Heading10">
    <w:name w:val="Heading #1"/>
    <w:basedOn w:val="Normal"/>
    <w:link w:val="Heading1"/>
    <w:rsid w:val="00B6604B"/>
    <w:pPr>
      <w:spacing w:after="180"/>
      <w:jc w:val="center"/>
      <w:outlineLvl w:val="0"/>
    </w:pPr>
    <w:rPr>
      <w:rFonts w:ascii="Times New Roman" w:eastAsia="Times New Roman" w:hAnsi="Times New Roman" w:cs="Times New Roman"/>
      <w:b/>
      <w:bCs/>
      <w:color w:val="auto"/>
      <w:sz w:val="70"/>
      <w:szCs w:val="70"/>
      <w:lang w:val="en-US" w:eastAsia="en-US" w:bidi="ar-SA"/>
    </w:rPr>
  </w:style>
  <w:style w:type="paragraph" w:customStyle="1" w:styleId="Tablecaption0">
    <w:name w:val="Table caption"/>
    <w:basedOn w:val="Normal"/>
    <w:link w:val="Tablecaption"/>
    <w:rsid w:val="00B6604B"/>
    <w:rPr>
      <w:rFonts w:ascii="Times New Roman" w:eastAsia="Times New Roman" w:hAnsi="Times New Roman" w:cs="Times New Roman"/>
      <w:b/>
      <w:bCs/>
      <w:color w:val="auto"/>
      <w:sz w:val="22"/>
      <w:szCs w:val="22"/>
      <w:lang w:val="en-US" w:eastAsia="en-US" w:bidi="ar-SA"/>
    </w:rPr>
  </w:style>
  <w:style w:type="table" w:styleId="TableGrid">
    <w:name w:val="Table Grid"/>
    <w:basedOn w:val="TableNormal"/>
    <w:uiPriority w:val="39"/>
    <w:rsid w:val="00B6604B"/>
    <w:pPr>
      <w:widowControl w:val="0"/>
      <w:spacing w:after="0" w:line="240" w:lineRule="auto"/>
    </w:pPr>
    <w:rPr>
      <w:rFonts w:ascii="Courier New" w:eastAsia="Courier New" w:hAnsi="Courier New" w:cs="Courier New"/>
      <w:sz w:val="24"/>
      <w:szCs w:val="24"/>
      <w:lang w:val="vi-VN" w:eastAsia="vi-VN" w:bidi="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rsid w:val="0038646E"/>
    <w:rPr>
      <w:rFonts w:ascii="Times New Roman" w:eastAsia="Times New Roman" w:hAnsi="Times New Roman" w:cs="Times New Roman"/>
      <w:b/>
      <w:bCs/>
    </w:rPr>
  </w:style>
  <w:style w:type="paragraph" w:customStyle="1" w:styleId="Heading20">
    <w:name w:val="Heading #2"/>
    <w:basedOn w:val="Normal"/>
    <w:link w:val="Heading2"/>
    <w:rsid w:val="0038646E"/>
    <w:pPr>
      <w:ind w:left="1220"/>
      <w:outlineLvl w:val="1"/>
    </w:pPr>
    <w:rPr>
      <w:rFonts w:ascii="Times New Roman" w:eastAsia="Times New Roman" w:hAnsi="Times New Roman" w:cs="Times New Roman"/>
      <w:b/>
      <w:bCs/>
      <w:color w:val="auto"/>
      <w:sz w:val="22"/>
      <w:szCs w:val="22"/>
      <w:lang w:val="en-US" w:eastAsia="en-US" w:bidi="ar-SA"/>
    </w:rPr>
  </w:style>
  <w:style w:type="character" w:customStyle="1" w:styleId="Bodytext4">
    <w:name w:val="Body text (4)_"/>
    <w:basedOn w:val="DefaultParagraphFont"/>
    <w:link w:val="Bodytext40"/>
    <w:rsid w:val="00A61884"/>
    <w:rPr>
      <w:rFonts w:ascii="Times New Roman" w:eastAsia="Times New Roman" w:hAnsi="Times New Roman" w:cs="Times New Roman"/>
      <w:sz w:val="18"/>
      <w:szCs w:val="18"/>
    </w:rPr>
  </w:style>
  <w:style w:type="paragraph" w:customStyle="1" w:styleId="Bodytext40">
    <w:name w:val="Body text (4)"/>
    <w:basedOn w:val="Normal"/>
    <w:link w:val="Bodytext4"/>
    <w:rsid w:val="00A61884"/>
    <w:pPr>
      <w:spacing w:after="1000"/>
      <w:ind w:hanging="1220"/>
    </w:pPr>
    <w:rPr>
      <w:rFonts w:ascii="Times New Roman" w:eastAsia="Times New Roman" w:hAnsi="Times New Roman" w:cs="Times New Roman"/>
      <w:color w:val="auto"/>
      <w:sz w:val="18"/>
      <w:szCs w:val="18"/>
      <w:lang w:val="en-US" w:eastAsia="en-US" w:bidi="ar-SA"/>
    </w:rPr>
  </w:style>
  <w:style w:type="character" w:customStyle="1" w:styleId="Bodytext8">
    <w:name w:val="Body text (8)_"/>
    <w:basedOn w:val="DefaultParagraphFont"/>
    <w:link w:val="Bodytext80"/>
    <w:rsid w:val="006F1F9A"/>
    <w:rPr>
      <w:rFonts w:ascii="Arial" w:eastAsia="Arial" w:hAnsi="Arial" w:cs="Arial"/>
      <w:sz w:val="34"/>
      <w:szCs w:val="34"/>
    </w:rPr>
  </w:style>
  <w:style w:type="paragraph" w:customStyle="1" w:styleId="Bodytext80">
    <w:name w:val="Body text (8)"/>
    <w:basedOn w:val="Normal"/>
    <w:link w:val="Bodytext8"/>
    <w:rsid w:val="006F1F9A"/>
    <w:pPr>
      <w:spacing w:after="100"/>
      <w:ind w:firstLine="820"/>
    </w:pPr>
    <w:rPr>
      <w:rFonts w:ascii="Arial" w:eastAsia="Arial" w:hAnsi="Arial" w:cs="Arial"/>
      <w:color w:val="auto"/>
      <w:sz w:val="34"/>
      <w:szCs w:val="34"/>
      <w:lang w:val="en-US" w:eastAsia="en-US" w:bidi="ar-SA"/>
    </w:rPr>
  </w:style>
  <w:style w:type="character" w:customStyle="1" w:styleId="Bodytext6">
    <w:name w:val="Body text (6)_"/>
    <w:basedOn w:val="DefaultParagraphFont"/>
    <w:link w:val="Bodytext60"/>
    <w:rsid w:val="009373DB"/>
    <w:rPr>
      <w:rFonts w:ascii="Arial" w:eastAsia="Arial" w:hAnsi="Arial" w:cs="Arial"/>
      <w:sz w:val="17"/>
      <w:szCs w:val="17"/>
    </w:rPr>
  </w:style>
  <w:style w:type="paragraph" w:customStyle="1" w:styleId="Bodytext60">
    <w:name w:val="Body text (6)"/>
    <w:basedOn w:val="Normal"/>
    <w:link w:val="Bodytext6"/>
    <w:rsid w:val="009373DB"/>
    <w:pPr>
      <w:spacing w:after="40" w:line="312" w:lineRule="auto"/>
      <w:ind w:left="980" w:firstLine="20"/>
    </w:pPr>
    <w:rPr>
      <w:rFonts w:ascii="Arial" w:eastAsia="Arial" w:hAnsi="Arial" w:cs="Arial"/>
      <w:color w:val="auto"/>
      <w:sz w:val="17"/>
      <w:szCs w:val="17"/>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2025-09-18T04:52:00Z</dcterms:created>
  <dcterms:modified xsi:type="dcterms:W3CDTF">2025-09-18T04:52:00Z</dcterms:modified>
</cp:coreProperties>
</file>